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4E" w:rsidRDefault="00871E4E" w:rsidP="00F75DA9">
      <w:pPr>
        <w:rPr>
          <w:rFonts w:ascii="Comic Sans MS" w:hAnsi="Comic Sans MS"/>
          <w:b/>
          <w:sz w:val="28"/>
          <w:szCs w:val="28"/>
        </w:rPr>
      </w:pPr>
      <w:r w:rsidRPr="00871E4E">
        <w:rPr>
          <w:rFonts w:ascii="Comic Sans MS" w:hAnsi="Comic Sans MS"/>
          <w:b/>
          <w:sz w:val="28"/>
          <w:szCs w:val="28"/>
        </w:rPr>
        <w:t>Chemistry Unit C1: Structures, Trends, Chemical Reactions, Quantitative Chemistry and Analysis</w:t>
      </w:r>
    </w:p>
    <w:p w:rsidR="005B2C62" w:rsidRPr="005B2C62" w:rsidRDefault="00117700" w:rsidP="00F75DA9">
      <w:pPr>
        <w:rPr>
          <w:rFonts w:ascii="Comic Sans MS" w:eastAsiaTheme="minorHAnsi" w:hAnsi="Comic Sans MS" w:cstheme="minorBidi"/>
          <w:b/>
          <w:sz w:val="28"/>
          <w:szCs w:val="28"/>
        </w:rPr>
      </w:pPr>
      <w:r w:rsidRPr="00117700">
        <w:rPr>
          <w:rFonts w:ascii="Comic Sans MS" w:hAnsi="Comic Sans MS"/>
          <w:b/>
          <w:sz w:val="28"/>
          <w:szCs w:val="28"/>
        </w:rPr>
        <w:t>C1.5 Symbols, formulae and equations</w:t>
      </w:r>
    </w:p>
    <w:tbl>
      <w:tblPr>
        <w:tblpPr w:leftFromText="180" w:rightFromText="180" w:vertAnchor="text" w:horzAnchor="margin" w:tblpXSpec="center" w:tblpY="193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51"/>
        <w:gridCol w:w="850"/>
        <w:gridCol w:w="993"/>
      </w:tblGrid>
      <w:tr w:rsidR="00AB7B45" w:rsidRPr="009E4095" w:rsidTr="00AB7B45">
        <w:tc>
          <w:tcPr>
            <w:tcW w:w="8222" w:type="dxa"/>
            <w:tcBorders>
              <w:bottom w:val="single" w:sz="4" w:space="0" w:color="000000"/>
            </w:tcBorders>
          </w:tcPr>
          <w:p w:rsidR="00AB7B45" w:rsidRPr="009E4095" w:rsidRDefault="00AB7B45" w:rsidP="009E40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E4095">
              <w:rPr>
                <w:rFonts w:ascii="Comic Sans MS" w:hAnsi="Comic Sans MS"/>
                <w:b/>
                <w:sz w:val="20"/>
                <w:szCs w:val="20"/>
              </w:rPr>
              <w:t xml:space="preserve">Content  - CCEA Double Award </w:t>
            </w:r>
            <w:r w:rsidR="0047504C" w:rsidRPr="009E4095">
              <w:rPr>
                <w:rFonts w:ascii="Comic Sans MS" w:hAnsi="Comic Sans MS"/>
                <w:b/>
                <w:sz w:val="20"/>
                <w:szCs w:val="20"/>
              </w:rPr>
              <w:t xml:space="preserve">Chemistry </w:t>
            </w:r>
            <w:r w:rsidRPr="009E4095">
              <w:rPr>
                <w:rFonts w:ascii="Comic Sans MS" w:hAnsi="Comic Sans MS"/>
                <w:b/>
                <w:sz w:val="20"/>
                <w:szCs w:val="20"/>
              </w:rPr>
              <w:t>1 – Fort Hill Integrated College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92D050"/>
          </w:tcPr>
          <w:p w:rsidR="00AB7B45" w:rsidRPr="009E4095" w:rsidRDefault="00AB7B45" w:rsidP="009E4095">
            <w:pPr>
              <w:rPr>
                <w:rFonts w:ascii="Comic Sans MS" w:hAnsi="Comic Sans MS"/>
                <w:sz w:val="20"/>
                <w:szCs w:val="20"/>
              </w:rPr>
            </w:pPr>
            <w:r w:rsidRPr="009E4095">
              <w:rPr>
                <w:rFonts w:ascii="Comic Sans MS" w:hAnsi="Comic Sans MS"/>
                <w:sz w:val="20"/>
                <w:szCs w:val="20"/>
              </w:rPr>
              <w:t>Got it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C000"/>
          </w:tcPr>
          <w:p w:rsidR="00AB7B45" w:rsidRPr="009E4095" w:rsidRDefault="00AB7B45" w:rsidP="009E4095">
            <w:pPr>
              <w:rPr>
                <w:rFonts w:ascii="Comic Sans MS" w:hAnsi="Comic Sans MS"/>
                <w:sz w:val="20"/>
                <w:szCs w:val="20"/>
              </w:rPr>
            </w:pPr>
            <w:r w:rsidRPr="009E4095">
              <w:rPr>
                <w:rFonts w:ascii="Comic Sans MS" w:hAnsi="Comic Sans MS"/>
                <w:sz w:val="20"/>
                <w:szCs w:val="20"/>
              </w:rPr>
              <w:t>Nearly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0000"/>
          </w:tcPr>
          <w:p w:rsidR="00AB7B45" w:rsidRPr="009E4095" w:rsidRDefault="00AB7B45" w:rsidP="009E4095">
            <w:pPr>
              <w:rPr>
                <w:rFonts w:ascii="Comic Sans MS" w:hAnsi="Comic Sans MS"/>
                <w:sz w:val="20"/>
                <w:szCs w:val="20"/>
              </w:rPr>
            </w:pPr>
            <w:r w:rsidRPr="009E4095">
              <w:rPr>
                <w:rFonts w:ascii="Comic Sans MS" w:hAnsi="Comic Sans MS"/>
                <w:sz w:val="20"/>
                <w:szCs w:val="20"/>
              </w:rPr>
              <w:t>Haven’t a clue</w:t>
            </w:r>
          </w:p>
        </w:tc>
      </w:tr>
      <w:tr w:rsidR="00AB7B45" w:rsidRPr="009E4095" w:rsidTr="00AB7B45">
        <w:tc>
          <w:tcPr>
            <w:tcW w:w="10916" w:type="dxa"/>
            <w:gridSpan w:val="4"/>
            <w:tcBorders>
              <w:bottom w:val="single" w:sz="4" w:space="0" w:color="000000"/>
            </w:tcBorders>
            <w:shd w:val="pct15" w:color="auto" w:fill="auto"/>
          </w:tcPr>
          <w:p w:rsidR="00AB7B45" w:rsidRPr="009E4095" w:rsidRDefault="00117700" w:rsidP="009E4095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9E4095">
              <w:rPr>
                <w:rFonts w:ascii="Comic Sans MS" w:hAnsi="Comic Sans MS" w:cs="Garamond-Bold"/>
                <w:b/>
                <w:bCs/>
                <w:sz w:val="20"/>
                <w:szCs w:val="20"/>
                <w:lang w:eastAsia="en-GB"/>
              </w:rPr>
              <w:t>C1.5 Symbols, formulae and equations</w:t>
            </w:r>
          </w:p>
        </w:tc>
      </w:tr>
      <w:tr w:rsidR="00F14624" w:rsidRPr="009E4095" w:rsidTr="00F14624">
        <w:tc>
          <w:tcPr>
            <w:tcW w:w="8222" w:type="dxa"/>
            <w:shd w:val="clear" w:color="auto" w:fill="auto"/>
          </w:tcPr>
          <w:p w:rsidR="00F14624" w:rsidRPr="009E4095" w:rsidRDefault="002F5A56" w:rsidP="009E4095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>recognise symbols and names for common elements</w:t>
            </w: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</w:t>
            </w: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>and recall the diatomic elements;</w:t>
            </w:r>
          </w:p>
        </w:tc>
        <w:tc>
          <w:tcPr>
            <w:tcW w:w="851" w:type="dxa"/>
            <w:shd w:val="clear" w:color="auto" w:fill="auto"/>
          </w:tcPr>
          <w:p w:rsidR="00F14624" w:rsidRPr="009E4095" w:rsidRDefault="00F14624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9E4095" w:rsidRDefault="00F14624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4624" w:rsidRPr="009E4095" w:rsidRDefault="00F14624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5A56" w:rsidRPr="009E4095" w:rsidTr="00F14624">
        <w:tc>
          <w:tcPr>
            <w:tcW w:w="8222" w:type="dxa"/>
            <w:shd w:val="clear" w:color="auto" w:fill="auto"/>
          </w:tcPr>
          <w:p w:rsidR="002F5A56" w:rsidRPr="009E4095" w:rsidRDefault="002F5A56" w:rsidP="009E40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>Can you interpret chemical formulae by naming the elements and stating the number of each type of atom present;</w:t>
            </w:r>
          </w:p>
        </w:tc>
        <w:tc>
          <w:tcPr>
            <w:tcW w:w="851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5A56" w:rsidRPr="009E4095" w:rsidTr="00F14624">
        <w:tc>
          <w:tcPr>
            <w:tcW w:w="8222" w:type="dxa"/>
            <w:shd w:val="clear" w:color="auto" w:fill="auto"/>
          </w:tcPr>
          <w:p w:rsidR="002F5A56" w:rsidRPr="009E4095" w:rsidRDefault="002F5A56" w:rsidP="009E40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>Can you write chemical formulae of compounds;</w:t>
            </w:r>
          </w:p>
        </w:tc>
        <w:tc>
          <w:tcPr>
            <w:tcW w:w="851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5A56" w:rsidRPr="009E4095" w:rsidTr="00F14624">
        <w:tc>
          <w:tcPr>
            <w:tcW w:w="8222" w:type="dxa"/>
            <w:shd w:val="clear" w:color="auto" w:fill="auto"/>
          </w:tcPr>
          <w:p w:rsidR="002F5A56" w:rsidRPr="009E4095" w:rsidRDefault="002F5A56" w:rsidP="009E40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>Can you demonstrate understanding that chemical reactions use up reactants and produce new substances called products;</w:t>
            </w:r>
          </w:p>
        </w:tc>
        <w:tc>
          <w:tcPr>
            <w:tcW w:w="851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5A56" w:rsidRPr="009E4095" w:rsidTr="00F14624">
        <w:tc>
          <w:tcPr>
            <w:tcW w:w="8222" w:type="dxa"/>
            <w:shd w:val="clear" w:color="auto" w:fill="auto"/>
          </w:tcPr>
          <w:p w:rsidR="002F5A56" w:rsidRPr="009E4095" w:rsidRDefault="002F5A56" w:rsidP="009E40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>Can you construct word equations to describe the range of reactions covered in this specification;</w:t>
            </w:r>
          </w:p>
        </w:tc>
        <w:tc>
          <w:tcPr>
            <w:tcW w:w="851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5A56" w:rsidRPr="009E4095" w:rsidTr="00F14624">
        <w:tc>
          <w:tcPr>
            <w:tcW w:w="8222" w:type="dxa"/>
            <w:shd w:val="clear" w:color="auto" w:fill="auto"/>
          </w:tcPr>
          <w:p w:rsidR="002F5A56" w:rsidRPr="009E4095" w:rsidRDefault="002F5A56" w:rsidP="009E4095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>Can you recognise that in a chemical reaction no atoms are lost or made but they are rearranged, and as a result we can write balanced symbol equations showing the atoms involved;</w:t>
            </w:r>
          </w:p>
        </w:tc>
        <w:tc>
          <w:tcPr>
            <w:tcW w:w="851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5A56" w:rsidRPr="009E4095" w:rsidTr="00F14624">
        <w:tc>
          <w:tcPr>
            <w:tcW w:w="8222" w:type="dxa"/>
            <w:shd w:val="clear" w:color="auto" w:fill="auto"/>
          </w:tcPr>
          <w:p w:rsidR="002F5A56" w:rsidRPr="009E4095" w:rsidRDefault="002F5A56" w:rsidP="009E4095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>Can you write balanced symbol equations for all reactions covered in this specification and for</w:t>
            </w:r>
            <w:bookmarkStart w:id="0" w:name="_GoBack"/>
            <w:bookmarkEnd w:id="0"/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unfamiliar chemical reactions when the names of the reactants and products are specified;</w:t>
            </w:r>
          </w:p>
        </w:tc>
        <w:tc>
          <w:tcPr>
            <w:tcW w:w="851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5A56" w:rsidRPr="009E4095" w:rsidTr="00F14624">
        <w:tc>
          <w:tcPr>
            <w:tcW w:w="8222" w:type="dxa"/>
            <w:shd w:val="clear" w:color="auto" w:fill="auto"/>
          </w:tcPr>
          <w:p w:rsidR="002F5A56" w:rsidRPr="009E4095" w:rsidRDefault="009E4095" w:rsidP="009E4095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9E4095">
              <w:rPr>
                <w:rFonts w:ascii="Comic Sans MS" w:eastAsiaTheme="minorHAnsi" w:hAnsi="Comic Sans MS" w:cs="Calibri"/>
                <w:b/>
                <w:sz w:val="20"/>
                <w:szCs w:val="20"/>
              </w:rPr>
              <w:t>Can you</w:t>
            </w: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</w:t>
            </w:r>
            <w:r w:rsidR="002F5A56" w:rsidRPr="009E4095">
              <w:rPr>
                <w:rFonts w:ascii="Comic Sans MS" w:eastAsiaTheme="minorHAnsi" w:hAnsi="Comic Sans MS" w:cs="Calibri"/>
                <w:b/>
                <w:bCs/>
                <w:sz w:val="20"/>
                <w:szCs w:val="20"/>
              </w:rPr>
              <w:t>write balanced ionic equations for reactions, including reactions covered in this specification;</w:t>
            </w:r>
          </w:p>
        </w:tc>
        <w:tc>
          <w:tcPr>
            <w:tcW w:w="851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5A56" w:rsidRPr="009E4095" w:rsidTr="00F14624">
        <w:tc>
          <w:tcPr>
            <w:tcW w:w="8222" w:type="dxa"/>
            <w:shd w:val="clear" w:color="auto" w:fill="auto"/>
          </w:tcPr>
          <w:p w:rsidR="002F5A56" w:rsidRPr="009E4095" w:rsidRDefault="009E4095" w:rsidP="009E4095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9E4095">
              <w:rPr>
                <w:rFonts w:ascii="Comic Sans MS" w:eastAsiaTheme="minorHAnsi" w:hAnsi="Comic Sans MS" w:cs="Calibri"/>
                <w:b/>
                <w:sz w:val="20"/>
                <w:szCs w:val="20"/>
              </w:rPr>
              <w:t>Can you</w:t>
            </w: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</w:t>
            </w:r>
            <w:r w:rsidR="002F5A56" w:rsidRPr="009E4095">
              <w:rPr>
                <w:rFonts w:ascii="Comic Sans MS" w:eastAsiaTheme="minorHAnsi" w:hAnsi="Comic Sans MS" w:cs="Calibri"/>
                <w:b/>
                <w:bCs/>
                <w:sz w:val="20"/>
                <w:szCs w:val="20"/>
              </w:rPr>
              <w:t>write half equations for reactions covered in this specification where appropriate;</w:t>
            </w:r>
          </w:p>
        </w:tc>
        <w:tc>
          <w:tcPr>
            <w:tcW w:w="851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5A56" w:rsidRPr="009E4095" w:rsidTr="0056513A">
        <w:tc>
          <w:tcPr>
            <w:tcW w:w="8222" w:type="dxa"/>
            <w:shd w:val="clear" w:color="auto" w:fill="FFFFFF" w:themeFill="background1"/>
          </w:tcPr>
          <w:p w:rsidR="002F5A56" w:rsidRPr="009E4095" w:rsidRDefault="009E4095" w:rsidP="009E4095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="002F5A56" w:rsidRPr="009E4095">
              <w:rPr>
                <w:rFonts w:ascii="Comic Sans MS" w:eastAsiaTheme="minorHAnsi" w:hAnsi="Comic Sans MS" w:cs="Calibri"/>
                <w:sz w:val="20"/>
                <w:szCs w:val="20"/>
              </w:rPr>
              <w:t>demonstrate knowledge and understanding that in chemical equations the three states of matter are shown as (s), (l) and (g), with (</w:t>
            </w:r>
            <w:proofErr w:type="spellStart"/>
            <w:r w:rsidR="002F5A56" w:rsidRPr="009E4095">
              <w:rPr>
                <w:rFonts w:ascii="Comic Sans MS" w:eastAsiaTheme="minorHAnsi" w:hAnsi="Comic Sans MS" w:cs="Calibri"/>
                <w:sz w:val="20"/>
                <w:szCs w:val="20"/>
              </w:rPr>
              <w:t>aq</w:t>
            </w:r>
            <w:proofErr w:type="spellEnd"/>
            <w:r w:rsidR="002F5A56" w:rsidRPr="009E4095">
              <w:rPr>
                <w:rFonts w:ascii="Comic Sans MS" w:eastAsiaTheme="minorHAnsi" w:hAnsi="Comic Sans MS" w:cs="Calibri"/>
                <w:sz w:val="20"/>
                <w:szCs w:val="20"/>
              </w:rPr>
              <w:t>) for aqueous solutions, and include appropriate state symbols in equations for the reactions in this specification.</w:t>
            </w:r>
          </w:p>
        </w:tc>
        <w:tc>
          <w:tcPr>
            <w:tcW w:w="851" w:type="dxa"/>
            <w:shd w:val="clear" w:color="auto" w:fill="FFFFFF" w:themeFill="background1"/>
          </w:tcPr>
          <w:p w:rsidR="002F5A56" w:rsidRPr="009E4095" w:rsidRDefault="002F5A56" w:rsidP="009E4095">
            <w:pPr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5A56" w:rsidRPr="009E4095" w:rsidRDefault="002F5A56" w:rsidP="009E4095">
            <w:pPr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5A56" w:rsidRPr="009E4095" w:rsidRDefault="002F5A56" w:rsidP="009E4095">
            <w:pPr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</w:tr>
    </w:tbl>
    <w:p w:rsidR="00E2033F" w:rsidRDefault="00E2033F"/>
    <w:p w:rsidR="00AB7B45" w:rsidRDefault="00AB7B45"/>
    <w:sectPr w:rsidR="00AB7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D88"/>
    <w:multiLevelType w:val="hybridMultilevel"/>
    <w:tmpl w:val="7B668FF2"/>
    <w:lvl w:ilvl="0" w:tplc="D9DEAF9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E0F6F"/>
    <w:multiLevelType w:val="hybridMultilevel"/>
    <w:tmpl w:val="0D1E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45"/>
    <w:rsid w:val="00117700"/>
    <w:rsid w:val="002F5A56"/>
    <w:rsid w:val="00337752"/>
    <w:rsid w:val="00376BDD"/>
    <w:rsid w:val="003830EA"/>
    <w:rsid w:val="003C52B0"/>
    <w:rsid w:val="0047504C"/>
    <w:rsid w:val="004B0A6E"/>
    <w:rsid w:val="0056513A"/>
    <w:rsid w:val="005B2C62"/>
    <w:rsid w:val="00871E4E"/>
    <w:rsid w:val="009A6649"/>
    <w:rsid w:val="009B6258"/>
    <w:rsid w:val="009E4095"/>
    <w:rsid w:val="00AB7B45"/>
    <w:rsid w:val="00B46DE5"/>
    <w:rsid w:val="00D26134"/>
    <w:rsid w:val="00DA2EBF"/>
    <w:rsid w:val="00E16D03"/>
    <w:rsid w:val="00E2033F"/>
    <w:rsid w:val="00F14624"/>
    <w:rsid w:val="00F75DA9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F4E5"/>
  <w15:docId w15:val="{69AC7BF5-73F2-4849-8131-EE7B146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5189A10E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RICHARDSON</dc:creator>
  <cp:lastModifiedBy>A RICHARDSON</cp:lastModifiedBy>
  <cp:revision>5</cp:revision>
  <cp:lastPrinted>2017-06-29T15:04:00Z</cp:lastPrinted>
  <dcterms:created xsi:type="dcterms:W3CDTF">2017-06-29T13:40:00Z</dcterms:created>
  <dcterms:modified xsi:type="dcterms:W3CDTF">2017-06-29T15:04:00Z</dcterms:modified>
</cp:coreProperties>
</file>